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D2409" w14:textId="03454FDE" w:rsidR="00A76977" w:rsidRDefault="00000000">
      <w:pPr>
        <w:spacing w:before="0" w:after="0" w:line="276" w:lineRule="auto"/>
        <w:rPr>
          <w:color w:val="222222"/>
          <w:sz w:val="24"/>
          <w:szCs w:val="24"/>
        </w:rPr>
      </w:pPr>
      <w:r>
        <w:rPr>
          <w:color w:val="222222"/>
          <w:sz w:val="24"/>
          <w:szCs w:val="24"/>
        </w:rPr>
        <w:t xml:space="preserve">Medienmitteilung vom </w:t>
      </w:r>
      <w:r w:rsidR="00C20CD3">
        <w:rPr>
          <w:color w:val="222222"/>
          <w:sz w:val="24"/>
          <w:szCs w:val="24"/>
        </w:rPr>
        <w:t>11.11</w:t>
      </w:r>
      <w:r>
        <w:rPr>
          <w:color w:val="222222"/>
          <w:sz w:val="24"/>
          <w:szCs w:val="24"/>
        </w:rPr>
        <w:t>.2025</w:t>
      </w:r>
    </w:p>
    <w:p w14:paraId="06EC1A28" w14:textId="77777777" w:rsidR="00A76977" w:rsidRDefault="00A76977">
      <w:pPr>
        <w:spacing w:before="0" w:after="0" w:line="276" w:lineRule="auto"/>
        <w:rPr>
          <w:color w:val="222222"/>
          <w:sz w:val="24"/>
          <w:szCs w:val="24"/>
        </w:rPr>
      </w:pPr>
    </w:p>
    <w:p w14:paraId="2AB41C71" w14:textId="77777777" w:rsidR="00A76977" w:rsidRDefault="00A76977">
      <w:pPr>
        <w:spacing w:before="0" w:after="0" w:line="276" w:lineRule="auto"/>
        <w:rPr>
          <w:color w:val="222222"/>
          <w:sz w:val="24"/>
          <w:szCs w:val="24"/>
        </w:rPr>
      </w:pPr>
    </w:p>
    <w:p w14:paraId="5AB3DF76" w14:textId="77777777" w:rsidR="00A76977" w:rsidRDefault="00000000">
      <w:pPr>
        <w:spacing w:before="0" w:after="0" w:line="276" w:lineRule="auto"/>
        <w:rPr>
          <w:color w:val="222222"/>
          <w:sz w:val="42"/>
          <w:szCs w:val="42"/>
        </w:rPr>
      </w:pPr>
      <w:r>
        <w:rPr>
          <w:color w:val="222222"/>
          <w:sz w:val="42"/>
          <w:szCs w:val="42"/>
        </w:rPr>
        <w:t>Renera sichert 1 TWh spanisches Biogas für den Schweizer Energiemarkt.</w:t>
      </w:r>
    </w:p>
    <w:p w14:paraId="4190857D" w14:textId="77777777" w:rsidR="00A76977" w:rsidRDefault="00A76977">
      <w:pPr>
        <w:spacing w:before="0" w:after="0" w:line="276" w:lineRule="auto"/>
        <w:rPr>
          <w:color w:val="222222"/>
          <w:sz w:val="24"/>
          <w:szCs w:val="24"/>
        </w:rPr>
      </w:pPr>
    </w:p>
    <w:p w14:paraId="605DDB28" w14:textId="77777777" w:rsidR="00A76977" w:rsidRDefault="00000000">
      <w:pPr>
        <w:spacing w:before="0" w:after="0" w:line="276" w:lineRule="auto"/>
        <w:rPr>
          <w:rFonts w:ascii="Inter Medium" w:eastAsia="Inter Medium" w:hAnsi="Inter Medium" w:cs="Inter Medium"/>
          <w:color w:val="222222"/>
          <w:sz w:val="24"/>
          <w:szCs w:val="24"/>
        </w:rPr>
      </w:pPr>
      <w:r>
        <w:rPr>
          <w:rFonts w:ascii="Inter Medium" w:eastAsia="Inter Medium" w:hAnsi="Inter Medium" w:cs="Inter Medium"/>
          <w:color w:val="222222"/>
          <w:sz w:val="24"/>
          <w:szCs w:val="24"/>
        </w:rPr>
        <w:t>Renera beschafft über 1 TWh Biogas aus Spanien. Nach Reneras Einstieg in den italienischen Biogasmarkt markiert dies einen weiteren Meilenstein und trägt zum wachsenden paneuropäischen Portfolio des Unternehmens bei.</w:t>
      </w:r>
    </w:p>
    <w:p w14:paraId="0BAD8A11" w14:textId="3997784A" w:rsidR="00A76977" w:rsidRDefault="00000000">
      <w:pPr>
        <w:spacing w:before="0" w:after="0" w:line="276" w:lineRule="auto"/>
        <w:rPr>
          <w:sz w:val="24"/>
          <w:szCs w:val="24"/>
        </w:rPr>
      </w:pPr>
      <w:r>
        <w:rPr>
          <w:color w:val="222222"/>
          <w:sz w:val="24"/>
          <w:szCs w:val="24"/>
        </w:rPr>
        <w:br/>
        <w:t xml:space="preserve">Die langjährigen Vereinbarungen umfassen die Abnahme von Biogas aus verschiedenen spanischen Anlagen. Die bereits gestarteten Lieferungen beinhalten sowohl den ökologischen Mehrwert als auch die Abnahme des physischen Gases. </w:t>
      </w:r>
      <w:r>
        <w:rPr>
          <w:sz w:val="24"/>
          <w:szCs w:val="24"/>
        </w:rPr>
        <w:t>Die Mengen, die Renera damit für Schweizer Kunden sichert, erfüllen die Schweizer Nachhaltigkeitsanforderungen</w:t>
      </w:r>
      <w:r w:rsidR="002F7545">
        <w:rPr>
          <w:sz w:val="24"/>
          <w:szCs w:val="24"/>
        </w:rPr>
        <w:t xml:space="preserve"> </w:t>
      </w:r>
      <w:r>
        <w:rPr>
          <w:sz w:val="24"/>
          <w:szCs w:val="24"/>
        </w:rPr>
        <w:t>und werden ausschliesslich aus nicht als Nahrungs- und Futtermittel verwendbaren Substraten erzeugt. Mit 1 TWh können knapp 45’000 Haushalte ein Jahr lang mit erneuerbarer Energie versorgt und etwa 180’000 Tonnen CO₂ im Vergleich zu fossilem Erdgas eingespart werden.</w:t>
      </w:r>
    </w:p>
    <w:p w14:paraId="1B965D4F" w14:textId="77777777" w:rsidR="00A76977" w:rsidRDefault="00A76977">
      <w:pPr>
        <w:spacing w:before="0" w:after="0" w:line="276" w:lineRule="auto"/>
        <w:rPr>
          <w:sz w:val="24"/>
          <w:szCs w:val="24"/>
        </w:rPr>
      </w:pPr>
    </w:p>
    <w:p w14:paraId="72865CD7" w14:textId="576A42EA" w:rsidR="00A76977" w:rsidRDefault="00000000">
      <w:pPr>
        <w:spacing w:before="0" w:after="0" w:line="276" w:lineRule="auto"/>
        <w:rPr>
          <w:i/>
          <w:color w:val="222222"/>
          <w:sz w:val="24"/>
          <w:szCs w:val="24"/>
        </w:rPr>
      </w:pPr>
      <w:r>
        <w:rPr>
          <w:sz w:val="24"/>
          <w:szCs w:val="24"/>
        </w:rPr>
        <w:t xml:space="preserve">Als Land mit dem viertgrössten Biogas-Potenzial in Europa bietet Spanien ideale Voraussetzungen für die Entwicklung erneuerbarer Gasprojekte. </w:t>
      </w:r>
      <w:r>
        <w:rPr>
          <w:i/>
          <w:sz w:val="24"/>
          <w:szCs w:val="24"/>
        </w:rPr>
        <w:t>«Wir freuen uns, dank stetigem Monitoring des Marktes und enger Zusammenarbeit mit lokalen Partnern diese Entwicklung aktiv mitzugestalten und spanisches Biogas für den Schweizer Markt zugänglich zu machen.»</w:t>
      </w:r>
      <w:r>
        <w:rPr>
          <w:sz w:val="24"/>
          <w:szCs w:val="24"/>
        </w:rPr>
        <w:t xml:space="preserve"> </w:t>
      </w:r>
      <w:r>
        <w:rPr>
          <w:color w:val="222222"/>
          <w:sz w:val="24"/>
          <w:szCs w:val="24"/>
        </w:rPr>
        <w:t xml:space="preserve">berichtet </w:t>
      </w:r>
      <w:r w:rsidR="00376AED">
        <w:rPr>
          <w:color w:val="222222"/>
          <w:sz w:val="24"/>
          <w:szCs w:val="24"/>
        </w:rPr>
        <w:t>Antonia Breeze</w:t>
      </w:r>
      <w:r>
        <w:rPr>
          <w:color w:val="222222"/>
          <w:sz w:val="24"/>
          <w:szCs w:val="24"/>
        </w:rPr>
        <w:t xml:space="preserve">, Head of </w:t>
      </w:r>
      <w:r w:rsidR="00376AED">
        <w:rPr>
          <w:color w:val="222222"/>
          <w:sz w:val="24"/>
          <w:szCs w:val="24"/>
        </w:rPr>
        <w:t>Green Gas</w:t>
      </w:r>
      <w:r>
        <w:rPr>
          <w:color w:val="222222"/>
          <w:sz w:val="24"/>
          <w:szCs w:val="24"/>
        </w:rPr>
        <w:t xml:space="preserve"> Renera. </w:t>
      </w:r>
      <w:r w:rsidR="00376AED">
        <w:rPr>
          <w:color w:val="222222"/>
          <w:sz w:val="24"/>
          <w:szCs w:val="24"/>
        </w:rPr>
        <w:t>Breeze</w:t>
      </w:r>
      <w:r>
        <w:rPr>
          <w:color w:val="222222"/>
          <w:sz w:val="24"/>
          <w:szCs w:val="24"/>
        </w:rPr>
        <w:t xml:space="preserve"> ergänzt: </w:t>
      </w:r>
      <w:r>
        <w:rPr>
          <w:rFonts w:ascii="Arial" w:eastAsia="Arial" w:hAnsi="Arial" w:cs="Arial"/>
          <w:color w:val="1F1F1F"/>
          <w:sz w:val="21"/>
          <w:szCs w:val="21"/>
          <w:highlight w:val="white"/>
        </w:rPr>
        <w:t>«</w:t>
      </w:r>
      <w:r>
        <w:rPr>
          <w:i/>
          <w:sz w:val="24"/>
          <w:szCs w:val="24"/>
        </w:rPr>
        <w:t>Diese Verträge unterstreichen Reneras Engagement für die gemeinsame Weiterentwicklung erneuerbarer Gase in Europa als Grundlage für eine erfolgreiche Energiewende.</w:t>
      </w:r>
      <w:r>
        <w:rPr>
          <w:rFonts w:ascii="Arial" w:eastAsia="Arial" w:hAnsi="Arial" w:cs="Arial"/>
          <w:i/>
          <w:color w:val="1F1F1F"/>
          <w:sz w:val="21"/>
          <w:szCs w:val="21"/>
          <w:highlight w:val="white"/>
        </w:rPr>
        <w:t>»</w:t>
      </w:r>
      <w:r>
        <w:rPr>
          <w:i/>
          <w:sz w:val="24"/>
          <w:szCs w:val="24"/>
        </w:rPr>
        <w:t xml:space="preserve"> </w:t>
      </w:r>
      <w:r>
        <w:rPr>
          <w:color w:val="222222"/>
          <w:sz w:val="24"/>
          <w:szCs w:val="24"/>
        </w:rPr>
        <w:t>Als führende unabhängige Biogas-Anbieterin in der Schweiz verfügt Renera über umfangreiche Erfahrungen aus zahlreichen Bio</w:t>
      </w:r>
      <w:r w:rsidR="00A968A0">
        <w:rPr>
          <w:color w:val="222222"/>
          <w:sz w:val="24"/>
          <w:szCs w:val="24"/>
        </w:rPr>
        <w:t>gas</w:t>
      </w:r>
      <w:r>
        <w:rPr>
          <w:color w:val="222222"/>
          <w:sz w:val="24"/>
          <w:szCs w:val="24"/>
        </w:rPr>
        <w:t>-Abnahmeverträgen in mittlerweile elf Ländern.</w:t>
      </w:r>
    </w:p>
    <w:p w14:paraId="27A48657" w14:textId="77777777" w:rsidR="00A76977" w:rsidRDefault="00000000">
      <w:pPr>
        <w:spacing w:before="0" w:after="0" w:line="276" w:lineRule="auto"/>
        <w:rPr>
          <w:color w:val="222222"/>
          <w:sz w:val="24"/>
          <w:szCs w:val="24"/>
        </w:rPr>
      </w:pPr>
      <w:r>
        <w:rPr>
          <w:color w:val="222222"/>
          <w:sz w:val="24"/>
          <w:szCs w:val="24"/>
        </w:rPr>
        <w:t>Mit der Anbindung des Schweizer eTS/eBS-Registers ans AIB Gas Scheme werden in Zukunft immer mehr Importwege aus Europa möglich und eröffnen neue Chancen für Energieversorgungsunternehmen in der Schweiz. Der europäische Markt befindet sich jedoch noch in der Anpassungsphase, weshalb weiterhin Übergangslösungen notwendig sind. Das zwölfköpfige Biogas-Expert:innen-Team von Renera engagiert sich weiterhin für den Aufbau eines zukunftsfähigen europäischen Biogasmarkts, der ökologische Verantwortung mit marktwirtschaftlicher Machbarkeit vereint.</w:t>
      </w:r>
    </w:p>
    <w:p w14:paraId="6DC2702D" w14:textId="77777777" w:rsidR="00A76977" w:rsidRDefault="00A76977">
      <w:pPr>
        <w:spacing w:before="0" w:after="0" w:line="276" w:lineRule="auto"/>
        <w:rPr>
          <w:rFonts w:ascii="Inter Medium" w:eastAsia="Inter Medium" w:hAnsi="Inter Medium" w:cs="Inter Medium"/>
          <w:color w:val="222222"/>
          <w:sz w:val="24"/>
          <w:szCs w:val="24"/>
        </w:rPr>
      </w:pPr>
    </w:p>
    <w:p w14:paraId="57564D81" w14:textId="77777777" w:rsidR="00A76977" w:rsidRDefault="00000000">
      <w:pPr>
        <w:spacing w:before="0" w:after="0" w:line="276" w:lineRule="auto"/>
        <w:rPr>
          <w:rFonts w:ascii="Inter Medium" w:eastAsia="Inter Medium" w:hAnsi="Inter Medium" w:cs="Inter Medium"/>
          <w:color w:val="222222"/>
          <w:sz w:val="24"/>
          <w:szCs w:val="24"/>
        </w:rPr>
      </w:pPr>
      <w:r>
        <w:rPr>
          <w:rFonts w:ascii="Inter Medium" w:eastAsia="Inter Medium" w:hAnsi="Inter Medium" w:cs="Inter Medium"/>
          <w:color w:val="222222"/>
          <w:sz w:val="24"/>
          <w:szCs w:val="24"/>
        </w:rPr>
        <w:lastRenderedPageBreak/>
        <w:t>Über Renera</w:t>
      </w:r>
    </w:p>
    <w:p w14:paraId="24E84214" w14:textId="77777777" w:rsidR="00A76977" w:rsidRDefault="00000000">
      <w:pPr>
        <w:spacing w:before="0" w:after="0" w:line="276" w:lineRule="auto"/>
        <w:rPr>
          <w:color w:val="222222"/>
          <w:sz w:val="24"/>
          <w:szCs w:val="24"/>
        </w:rPr>
      </w:pPr>
      <w:r>
        <w:rPr>
          <w:color w:val="222222"/>
          <w:sz w:val="24"/>
          <w:szCs w:val="24"/>
        </w:rPr>
        <w:t>Renera ist eine europaweit tätige Schweizer Firmengruppe mit Hauptsitz in Basel. Zu ihren Hauptaktivitäten gehören die Entwicklung, der Handel und die Beratung im Bereich der erneuerbaren Energien und der Energieeffizienz. Renera unterstützt Energieversorgungsunternehmen, Akteure der Immobilienbranche, Behörden oder auch Private bei der gewinnbringenden Umsetzung der Energiewende. Derzeit besteht das Team aus über 160 Mitarbeitenden an Standorten in der Schweiz, in Deutschland und Italien.</w:t>
      </w:r>
    </w:p>
    <w:p w14:paraId="0D7F5EC4" w14:textId="44E08DFB" w:rsidR="00C11E50" w:rsidRDefault="00C11E50">
      <w:pPr>
        <w:spacing w:before="0" w:after="0" w:line="276" w:lineRule="auto"/>
        <w:rPr>
          <w:color w:val="222222"/>
          <w:sz w:val="24"/>
          <w:szCs w:val="24"/>
        </w:rPr>
      </w:pPr>
      <w:r w:rsidRPr="00C11E50">
        <w:rPr>
          <w:color w:val="222222"/>
          <w:sz w:val="24"/>
          <w:szCs w:val="24"/>
        </w:rPr>
        <w:t xml:space="preserve">Als Teil der Renera-Gruppe schliesst die Renera Trading AG aktiv die Lücke zwischen Abnehmern und Produzentinnen von Biogas in ganz Europa. </w:t>
      </w:r>
    </w:p>
    <w:p w14:paraId="7D3BC889" w14:textId="77777777" w:rsidR="00A76977" w:rsidRDefault="00A76977">
      <w:pPr>
        <w:spacing w:before="0" w:after="0" w:line="276" w:lineRule="auto"/>
        <w:rPr>
          <w:color w:val="222222"/>
          <w:sz w:val="24"/>
          <w:szCs w:val="24"/>
        </w:rPr>
      </w:pPr>
    </w:p>
    <w:p w14:paraId="798936B6" w14:textId="77777777" w:rsidR="00A76977" w:rsidRDefault="00000000">
      <w:pPr>
        <w:spacing w:before="0" w:after="0" w:line="276" w:lineRule="auto"/>
        <w:rPr>
          <w:rFonts w:ascii="Inter Medium" w:eastAsia="Inter Medium" w:hAnsi="Inter Medium" w:cs="Inter Medium"/>
          <w:color w:val="222222"/>
          <w:sz w:val="24"/>
          <w:szCs w:val="24"/>
        </w:rPr>
      </w:pPr>
      <w:r>
        <w:rPr>
          <w:rFonts w:ascii="Inter Medium" w:eastAsia="Inter Medium" w:hAnsi="Inter Medium" w:cs="Inter Medium"/>
          <w:color w:val="222222"/>
          <w:sz w:val="24"/>
          <w:szCs w:val="24"/>
        </w:rPr>
        <w:t>Über Biogas</w:t>
      </w:r>
    </w:p>
    <w:p w14:paraId="2004E991" w14:textId="46E6DDC3" w:rsidR="00A76977" w:rsidRDefault="00000000">
      <w:pPr>
        <w:spacing w:before="0" w:after="0" w:line="276" w:lineRule="auto"/>
        <w:rPr>
          <w:color w:val="222222"/>
          <w:sz w:val="24"/>
          <w:szCs w:val="24"/>
        </w:rPr>
      </w:pPr>
      <w:r>
        <w:rPr>
          <w:color w:val="222222"/>
          <w:sz w:val="24"/>
          <w:szCs w:val="24"/>
        </w:rPr>
        <w:t>Biogas ist eine nachhaltige Energiequelle, die ohne Anpassungen der Infrastruktur in der Industrie oder den Verkehrsnetzen eingesetzt werden kann. Durch anaerobe Vergärung von organischen Materialien wie landwirtschaftlichen Rückständen und Lebensmittelabfällen wird Bio</w:t>
      </w:r>
      <w:r w:rsidR="00A968A0">
        <w:rPr>
          <w:color w:val="222222"/>
          <w:sz w:val="24"/>
          <w:szCs w:val="24"/>
        </w:rPr>
        <w:t>gas</w:t>
      </w:r>
      <w:r>
        <w:rPr>
          <w:color w:val="222222"/>
          <w:sz w:val="24"/>
          <w:szCs w:val="24"/>
        </w:rPr>
        <w:t xml:space="preserve"> gewonnen, welches zum Heizen, zur Stromerzeugung und als Fahrzeugkraftstoff verwendet werden kann.</w:t>
      </w:r>
    </w:p>
    <w:p w14:paraId="7781267B" w14:textId="77777777" w:rsidR="00A76977" w:rsidRDefault="00A76977">
      <w:pPr>
        <w:spacing w:before="0" w:after="0" w:line="276" w:lineRule="auto"/>
        <w:rPr>
          <w:color w:val="222222"/>
          <w:sz w:val="24"/>
          <w:szCs w:val="24"/>
        </w:rPr>
      </w:pPr>
    </w:p>
    <w:p w14:paraId="30AE2F7A" w14:textId="77777777" w:rsidR="00A76977" w:rsidRDefault="00000000">
      <w:pPr>
        <w:spacing w:before="0" w:after="0" w:line="276" w:lineRule="auto"/>
        <w:rPr>
          <w:rFonts w:ascii="Inter Medium" w:eastAsia="Inter Medium" w:hAnsi="Inter Medium" w:cs="Inter Medium"/>
          <w:color w:val="222222"/>
          <w:sz w:val="24"/>
          <w:szCs w:val="24"/>
        </w:rPr>
      </w:pPr>
      <w:r>
        <w:rPr>
          <w:rFonts w:ascii="Inter Medium" w:eastAsia="Inter Medium" w:hAnsi="Inter Medium" w:cs="Inter Medium"/>
          <w:color w:val="222222"/>
          <w:sz w:val="24"/>
          <w:szCs w:val="24"/>
        </w:rPr>
        <w:t>Weitere Informationen zum Thema</w:t>
      </w:r>
    </w:p>
    <w:p w14:paraId="2560194A" w14:textId="66F52294" w:rsidR="00A76977" w:rsidRDefault="00F61994">
      <w:pPr>
        <w:spacing w:before="0" w:after="0" w:line="276" w:lineRule="auto"/>
        <w:rPr>
          <w:color w:val="222222"/>
          <w:sz w:val="24"/>
          <w:szCs w:val="24"/>
        </w:rPr>
      </w:pPr>
      <w:r>
        <w:rPr>
          <w:color w:val="222222"/>
          <w:sz w:val="24"/>
          <w:szCs w:val="24"/>
        </w:rPr>
        <w:t>Markus Sorg</w:t>
      </w:r>
    </w:p>
    <w:p w14:paraId="32C06EBD" w14:textId="77777777" w:rsidR="00F61994" w:rsidRDefault="00F61994">
      <w:pPr>
        <w:spacing w:before="0" w:after="0" w:line="276" w:lineRule="auto"/>
        <w:rPr>
          <w:color w:val="222222"/>
          <w:sz w:val="24"/>
          <w:szCs w:val="24"/>
        </w:rPr>
      </w:pPr>
      <w:r>
        <w:rPr>
          <w:color w:val="222222"/>
          <w:sz w:val="24"/>
          <w:szCs w:val="24"/>
        </w:rPr>
        <w:t>Media Relations</w:t>
      </w:r>
    </w:p>
    <w:p w14:paraId="72B6E7AC" w14:textId="5ACC61EA" w:rsidR="00A76977" w:rsidRDefault="00871FC1">
      <w:pPr>
        <w:spacing w:before="0" w:after="0" w:line="276" w:lineRule="auto"/>
        <w:rPr>
          <w:color w:val="222222"/>
          <w:sz w:val="24"/>
          <w:szCs w:val="24"/>
        </w:rPr>
      </w:pPr>
      <w:r>
        <w:rPr>
          <w:color w:val="222222"/>
          <w:sz w:val="24"/>
          <w:szCs w:val="24"/>
        </w:rPr>
        <w:t>markus.sorg@renera.energy</w:t>
      </w:r>
    </w:p>
    <w:p w14:paraId="6DE2AFBC" w14:textId="67B00FA8" w:rsidR="00A76977" w:rsidRDefault="00000000">
      <w:pPr>
        <w:spacing w:before="0" w:after="0" w:line="276" w:lineRule="auto"/>
        <w:rPr>
          <w:color w:val="222222"/>
          <w:sz w:val="14"/>
          <w:szCs w:val="14"/>
          <w:highlight w:val="white"/>
        </w:rPr>
      </w:pPr>
      <w:r>
        <w:rPr>
          <w:color w:val="222222"/>
          <w:sz w:val="24"/>
          <w:szCs w:val="24"/>
        </w:rPr>
        <w:t>+41 61 500 1</w:t>
      </w:r>
      <w:r w:rsidR="00F61994">
        <w:rPr>
          <w:color w:val="222222"/>
          <w:sz w:val="24"/>
          <w:szCs w:val="24"/>
        </w:rPr>
        <w:t>2 33</w:t>
      </w:r>
    </w:p>
    <w:p w14:paraId="2C7CC20C" w14:textId="77777777" w:rsidR="00A76977" w:rsidRDefault="00A76977">
      <w:pPr>
        <w:spacing w:before="0" w:after="0" w:line="276" w:lineRule="auto"/>
        <w:rPr>
          <w:color w:val="222222"/>
          <w:highlight w:val="white"/>
        </w:rPr>
      </w:pPr>
    </w:p>
    <w:p w14:paraId="492D1ED9" w14:textId="77777777" w:rsidR="00A76977" w:rsidRDefault="00A76977">
      <w:pPr>
        <w:spacing w:before="0" w:after="0" w:line="276" w:lineRule="auto"/>
        <w:rPr>
          <w:color w:val="222222"/>
          <w:sz w:val="24"/>
          <w:szCs w:val="24"/>
          <w:highlight w:val="white"/>
        </w:rPr>
      </w:pPr>
    </w:p>
    <w:p w14:paraId="63055886" w14:textId="77777777" w:rsidR="00A76977" w:rsidRDefault="00A76977">
      <w:pPr>
        <w:spacing w:before="0" w:after="0" w:line="276" w:lineRule="auto"/>
        <w:ind w:left="720"/>
        <w:rPr>
          <w:color w:val="222222"/>
          <w:sz w:val="24"/>
          <w:szCs w:val="24"/>
          <w:highlight w:val="white"/>
        </w:rPr>
      </w:pPr>
    </w:p>
    <w:p w14:paraId="5F2209E2" w14:textId="77777777" w:rsidR="00A76977" w:rsidRDefault="00A76977">
      <w:pPr>
        <w:spacing w:before="0" w:after="0" w:line="276" w:lineRule="auto"/>
        <w:rPr>
          <w:color w:val="222222"/>
          <w:sz w:val="24"/>
          <w:szCs w:val="24"/>
        </w:rPr>
      </w:pPr>
    </w:p>
    <w:p w14:paraId="37E210F2" w14:textId="77777777" w:rsidR="00A76977" w:rsidRDefault="00A76977">
      <w:pPr>
        <w:spacing w:before="0" w:after="0" w:line="276" w:lineRule="auto"/>
        <w:ind w:left="720"/>
        <w:rPr>
          <w:color w:val="222222"/>
          <w:sz w:val="24"/>
          <w:szCs w:val="24"/>
          <w:highlight w:val="white"/>
        </w:rPr>
      </w:pPr>
    </w:p>
    <w:sectPr w:rsidR="00A76977">
      <w:footerReference w:type="default" r:id="rId7"/>
      <w:headerReference w:type="first" r:id="rId8"/>
      <w:footerReference w:type="first" r:id="rId9"/>
      <w:pgSz w:w="11909" w:h="16834"/>
      <w:pgMar w:top="1440" w:right="1440" w:bottom="1440" w:left="1440" w:header="850" w:footer="623"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3C69" w14:textId="77777777" w:rsidR="0011748B" w:rsidRDefault="0011748B">
      <w:pPr>
        <w:spacing w:before="0" w:after="0" w:line="240" w:lineRule="auto"/>
      </w:pPr>
      <w:r>
        <w:separator/>
      </w:r>
    </w:p>
  </w:endnote>
  <w:endnote w:type="continuationSeparator" w:id="0">
    <w:p w14:paraId="0E023D03" w14:textId="77777777" w:rsidR="0011748B" w:rsidRDefault="001174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Light">
    <w:panose1 w:val="02000403000000020004"/>
    <w:charset w:val="00"/>
    <w:family w:val="modern"/>
    <w:notTrueType/>
    <w:pitch w:val="variable"/>
    <w:sig w:usb0="E0000AFF" w:usb1="5200A1FF" w:usb2="00000021" w:usb3="00000000" w:csb0="0000019F" w:csb1="00000000"/>
  </w:font>
  <w:font w:name="Inter Medium">
    <w:panose1 w:val="02000603000000020004"/>
    <w:charset w:val="00"/>
    <w:family w:val="modern"/>
    <w:notTrueType/>
    <w:pitch w:val="variable"/>
    <w:sig w:usb0="E0000AFF" w:usb1="5200A1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7D6290F-0816-4A35-8B8A-DB7D2B2F1723}"/>
  </w:font>
  <w:font w:name="Cambria">
    <w:panose1 w:val="02040503050406030204"/>
    <w:charset w:val="00"/>
    <w:family w:val="roman"/>
    <w:pitch w:val="variable"/>
    <w:sig w:usb0="E00006FF" w:usb1="420024FF" w:usb2="02000000" w:usb3="00000000" w:csb0="0000019F" w:csb1="00000000"/>
    <w:embedRegular r:id="rId2" w:fontKey="{BC4CF6D1-DED1-4627-A0EA-4872FA23EF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9D97" w14:textId="77777777" w:rsidR="00A76977" w:rsidRDefault="00000000">
    <w:pPr>
      <w:tabs>
        <w:tab w:val="right" w:pos="9630"/>
      </w:tabs>
      <w:spacing w:before="20" w:line="240" w:lineRule="auto"/>
      <w:ind w:right="-607"/>
      <w:rPr>
        <w:sz w:val="15"/>
        <w:szCs w:val="15"/>
      </w:rPr>
    </w:pPr>
    <w:r>
      <w:rPr>
        <w:sz w:val="15"/>
        <w:szCs w:val="15"/>
      </w:rPr>
      <w:t xml:space="preserve">Renera Trading AG  |  Aeschenplatz 6  |  4052 Basel  |  T +41 61 500 18 00  |  trading@renera.energy </w:t>
    </w:r>
    <w:r>
      <w:tab/>
    </w:r>
    <w:r>
      <w:rPr>
        <w:sz w:val="15"/>
        <w:szCs w:val="15"/>
      </w:rPr>
      <w:fldChar w:fldCharType="begin"/>
    </w:r>
    <w:r>
      <w:rPr>
        <w:sz w:val="15"/>
        <w:szCs w:val="15"/>
      </w:rPr>
      <w:instrText>NUMPAGES</w:instrText>
    </w:r>
    <w:r>
      <w:rPr>
        <w:sz w:val="15"/>
        <w:szCs w:val="15"/>
      </w:rPr>
      <w:fldChar w:fldCharType="separate"/>
    </w:r>
    <w:r w:rsidR="00F61994">
      <w:rPr>
        <w:noProof/>
        <w:sz w:val="15"/>
        <w:szCs w:val="15"/>
      </w:rPr>
      <w:t>2</w:t>
    </w:r>
    <w:r>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8595" w14:textId="77777777" w:rsidR="00A76977" w:rsidRDefault="00000000">
    <w:pPr>
      <w:spacing w:before="20" w:line="240" w:lineRule="auto"/>
    </w:pPr>
    <w:r>
      <w:rPr>
        <w:sz w:val="15"/>
        <w:szCs w:val="15"/>
      </w:rPr>
      <w:t xml:space="preserve">Renera Trading AG  |  Aeschenplatz 6  |  4052 Basel  |  T +41 61 500 18 00  |  trading@renera.energy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D8AE" w14:textId="77777777" w:rsidR="0011748B" w:rsidRDefault="0011748B">
      <w:pPr>
        <w:spacing w:before="0" w:after="0" w:line="240" w:lineRule="auto"/>
      </w:pPr>
      <w:r>
        <w:separator/>
      </w:r>
    </w:p>
  </w:footnote>
  <w:footnote w:type="continuationSeparator" w:id="0">
    <w:p w14:paraId="10DC8A17" w14:textId="77777777" w:rsidR="0011748B" w:rsidRDefault="001174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1B8C" w14:textId="77777777" w:rsidR="00A76977" w:rsidRDefault="00000000">
    <w:r>
      <w:rPr>
        <w:noProof/>
      </w:rPr>
      <mc:AlternateContent>
        <mc:Choice Requires="wpg">
          <w:drawing>
            <wp:anchor distT="114300" distB="114300" distL="114300" distR="114300" simplePos="0" relativeHeight="251658240" behindDoc="0" locked="0" layoutInCell="1" hidden="0" allowOverlap="1" wp14:anchorId="701EF75A" wp14:editId="6F04380C">
              <wp:simplePos x="0" y="0"/>
              <wp:positionH relativeFrom="page">
                <wp:posOffset>442800</wp:posOffset>
              </wp:positionH>
              <wp:positionV relativeFrom="page">
                <wp:posOffset>442800</wp:posOffset>
              </wp:positionV>
              <wp:extent cx="2298617" cy="406800"/>
              <wp:effectExtent l="0" t="0" r="0" b="0"/>
              <wp:wrapSquare wrapText="bothSides" distT="114300" distB="114300" distL="114300" distR="114300"/>
              <wp:docPr id="2" name="Gruppieren 2"/>
              <wp:cNvGraphicFramePr/>
              <a:graphic xmlns:a="http://schemas.openxmlformats.org/drawingml/2006/main">
                <a:graphicData uri="http://schemas.microsoft.com/office/word/2010/wordprocessingGroup">
                  <wpg:wgp>
                    <wpg:cNvGrpSpPr/>
                    <wpg:grpSpPr>
                      <a:xfrm>
                        <a:off x="0" y="0"/>
                        <a:ext cx="2298617" cy="406800"/>
                        <a:chOff x="4196675" y="3576600"/>
                        <a:chExt cx="2298650" cy="406800"/>
                      </a:xfrm>
                    </wpg:grpSpPr>
                    <wpg:grpSp>
                      <wpg:cNvPr id="1027762487" name="Gruppieren 1027762487"/>
                      <wpg:cNvGrpSpPr/>
                      <wpg:grpSpPr>
                        <a:xfrm>
                          <a:off x="4196680" y="3576600"/>
                          <a:ext cx="2298629" cy="406800"/>
                          <a:chOff x="-11" y="0"/>
                          <a:chExt cx="2082686" cy="360825"/>
                        </a:xfrm>
                      </wpg:grpSpPr>
                      <wps:wsp>
                        <wps:cNvPr id="1965345231" name="Rechteck 1965345231"/>
                        <wps:cNvSpPr/>
                        <wps:spPr>
                          <a:xfrm>
                            <a:off x="0" y="0"/>
                            <a:ext cx="2082675" cy="360825"/>
                          </a:xfrm>
                          <a:prstGeom prst="rect">
                            <a:avLst/>
                          </a:prstGeom>
                          <a:noFill/>
                          <a:ln>
                            <a:noFill/>
                          </a:ln>
                        </wps:spPr>
                        <wps:txbx>
                          <w:txbxContent>
                            <w:p w14:paraId="0FE7040C"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g:grpSp>
                        <wpg:cNvPr id="1554268728" name="Gruppieren 1554268728"/>
                        <wpg:cNvGrpSpPr/>
                        <wpg:grpSpPr>
                          <a:xfrm>
                            <a:off x="-11" y="6"/>
                            <a:ext cx="2082674" cy="360799"/>
                            <a:chOff x="1144900" y="1348100"/>
                            <a:chExt cx="5304825" cy="919000"/>
                          </a:xfrm>
                        </wpg:grpSpPr>
                        <wps:wsp>
                          <wps:cNvPr id="229130229" name="Freihandform: Form 229130229"/>
                          <wps:cNvSpPr/>
                          <wps:spPr>
                            <a:xfrm>
                              <a:off x="2308475" y="1348100"/>
                              <a:ext cx="725650" cy="897175"/>
                            </a:xfrm>
                            <a:custGeom>
                              <a:avLst/>
                              <a:gdLst/>
                              <a:ahLst/>
                              <a:cxnLst/>
                              <a:rect l="l" t="t" r="r" b="b"/>
                              <a:pathLst>
                                <a:path w="29026" h="35887" extrusionOk="0">
                                  <a:moveTo>
                                    <a:pt x="13945" y="5481"/>
                                  </a:moveTo>
                                  <a:cubicBezTo>
                                    <a:pt x="18674" y="5481"/>
                                    <a:pt x="20968" y="7430"/>
                                    <a:pt x="20968" y="10759"/>
                                  </a:cubicBezTo>
                                  <a:cubicBezTo>
                                    <a:pt x="20968" y="14453"/>
                                    <a:pt x="18207" y="16442"/>
                                    <a:pt x="12524" y="16442"/>
                                  </a:cubicBezTo>
                                  <a:lnTo>
                                    <a:pt x="6780" y="16442"/>
                                  </a:lnTo>
                                  <a:lnTo>
                                    <a:pt x="6780" y="5481"/>
                                  </a:lnTo>
                                  <a:close/>
                                  <a:moveTo>
                                    <a:pt x="0" y="1"/>
                                  </a:moveTo>
                                  <a:lnTo>
                                    <a:pt x="0" y="35887"/>
                                  </a:lnTo>
                                  <a:lnTo>
                                    <a:pt x="6780" y="35887"/>
                                  </a:lnTo>
                                  <a:lnTo>
                                    <a:pt x="6780" y="21882"/>
                                  </a:lnTo>
                                  <a:lnTo>
                                    <a:pt x="11854" y="21882"/>
                                  </a:lnTo>
                                  <a:cubicBezTo>
                                    <a:pt x="17274" y="21882"/>
                                    <a:pt x="18979" y="23424"/>
                                    <a:pt x="20521" y="29615"/>
                                  </a:cubicBezTo>
                                  <a:lnTo>
                                    <a:pt x="22003" y="35887"/>
                                  </a:lnTo>
                                  <a:lnTo>
                                    <a:pt x="29026" y="35887"/>
                                  </a:lnTo>
                                  <a:lnTo>
                                    <a:pt x="26976" y="28438"/>
                                  </a:lnTo>
                                  <a:cubicBezTo>
                                    <a:pt x="25697" y="23668"/>
                                    <a:pt x="23891" y="20542"/>
                                    <a:pt x="19648" y="18959"/>
                                  </a:cubicBezTo>
                                  <a:lnTo>
                                    <a:pt x="19648" y="18857"/>
                                  </a:lnTo>
                                  <a:cubicBezTo>
                                    <a:pt x="25027" y="17842"/>
                                    <a:pt x="27950" y="14392"/>
                                    <a:pt x="27950" y="9723"/>
                                  </a:cubicBezTo>
                                  <a:cubicBezTo>
                                    <a:pt x="27950" y="3898"/>
                                    <a:pt x="23282" y="1"/>
                                    <a:pt x="15081" y="1"/>
                                  </a:cubicBezTo>
                                  <a:close/>
                                </a:path>
                              </a:pathLst>
                            </a:custGeom>
                            <a:solidFill>
                              <a:srgbClr val="00BAE6"/>
                            </a:solidFill>
                            <a:ln>
                              <a:noFill/>
                            </a:ln>
                          </wps:spPr>
                          <wps:txbx>
                            <w:txbxContent>
                              <w:p w14:paraId="1C61ED43"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2131951658" name="Freihandform: Form 2131951658"/>
                          <wps:cNvSpPr/>
                          <wps:spPr>
                            <a:xfrm>
                              <a:off x="3053400" y="1518600"/>
                              <a:ext cx="687100" cy="748500"/>
                            </a:xfrm>
                            <a:custGeom>
                              <a:avLst/>
                              <a:gdLst/>
                              <a:ahLst/>
                              <a:cxnLst/>
                              <a:rect l="l" t="t" r="r" b="b"/>
                              <a:pathLst>
                                <a:path w="27484" h="29940" extrusionOk="0">
                                  <a:moveTo>
                                    <a:pt x="14087" y="5116"/>
                                  </a:moveTo>
                                  <a:cubicBezTo>
                                    <a:pt x="18491" y="5116"/>
                                    <a:pt x="20968" y="8039"/>
                                    <a:pt x="20968" y="12139"/>
                                  </a:cubicBezTo>
                                  <a:lnTo>
                                    <a:pt x="6922" y="12139"/>
                                  </a:lnTo>
                                  <a:cubicBezTo>
                                    <a:pt x="7328" y="8201"/>
                                    <a:pt x="9642" y="5116"/>
                                    <a:pt x="14087" y="5116"/>
                                  </a:cubicBezTo>
                                  <a:close/>
                                  <a:moveTo>
                                    <a:pt x="13945" y="1"/>
                                  </a:moveTo>
                                  <a:cubicBezTo>
                                    <a:pt x="5785" y="1"/>
                                    <a:pt x="0" y="5583"/>
                                    <a:pt x="0" y="14960"/>
                                  </a:cubicBezTo>
                                  <a:cubicBezTo>
                                    <a:pt x="0" y="24297"/>
                                    <a:pt x="5643" y="29940"/>
                                    <a:pt x="13985" y="29940"/>
                                  </a:cubicBezTo>
                                  <a:cubicBezTo>
                                    <a:pt x="20968" y="29940"/>
                                    <a:pt x="25880" y="26043"/>
                                    <a:pt x="27118" y="20400"/>
                                  </a:cubicBezTo>
                                  <a:lnTo>
                                    <a:pt x="20440" y="20400"/>
                                  </a:lnTo>
                                  <a:cubicBezTo>
                                    <a:pt x="19587" y="23120"/>
                                    <a:pt x="17213" y="24804"/>
                                    <a:pt x="14087" y="24804"/>
                                  </a:cubicBezTo>
                                  <a:cubicBezTo>
                                    <a:pt x="9784" y="24804"/>
                                    <a:pt x="7064" y="21618"/>
                                    <a:pt x="6861" y="16807"/>
                                  </a:cubicBezTo>
                                  <a:lnTo>
                                    <a:pt x="27483" y="16807"/>
                                  </a:lnTo>
                                  <a:lnTo>
                                    <a:pt x="27483" y="13884"/>
                                  </a:lnTo>
                                  <a:cubicBezTo>
                                    <a:pt x="27483" y="4811"/>
                                    <a:pt x="21678" y="1"/>
                                    <a:pt x="13945" y="1"/>
                                  </a:cubicBezTo>
                                  <a:close/>
                                </a:path>
                              </a:pathLst>
                            </a:custGeom>
                            <a:solidFill>
                              <a:srgbClr val="00BAE6"/>
                            </a:solidFill>
                            <a:ln>
                              <a:noFill/>
                            </a:ln>
                          </wps:spPr>
                          <wps:txbx>
                            <w:txbxContent>
                              <w:p w14:paraId="3C5E4A52"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388577956" name="Freihandform: Form 388577956"/>
                          <wps:cNvSpPr/>
                          <wps:spPr>
                            <a:xfrm>
                              <a:off x="3833325" y="1518600"/>
                              <a:ext cx="616075" cy="726675"/>
                            </a:xfrm>
                            <a:custGeom>
                              <a:avLst/>
                              <a:gdLst/>
                              <a:ahLst/>
                              <a:cxnLst/>
                              <a:rect l="l" t="t" r="r" b="b"/>
                              <a:pathLst>
                                <a:path w="24643" h="29067" extrusionOk="0">
                                  <a:moveTo>
                                    <a:pt x="15122" y="1"/>
                                  </a:moveTo>
                                  <a:cubicBezTo>
                                    <a:pt x="11225" y="1"/>
                                    <a:pt x="8140" y="1828"/>
                                    <a:pt x="6455" y="5177"/>
                                  </a:cubicBezTo>
                                  <a:lnTo>
                                    <a:pt x="6354" y="5177"/>
                                  </a:lnTo>
                                  <a:lnTo>
                                    <a:pt x="6354" y="853"/>
                                  </a:lnTo>
                                  <a:lnTo>
                                    <a:pt x="1" y="853"/>
                                  </a:lnTo>
                                  <a:lnTo>
                                    <a:pt x="1" y="29067"/>
                                  </a:lnTo>
                                  <a:lnTo>
                                    <a:pt x="6455" y="29067"/>
                                  </a:lnTo>
                                  <a:lnTo>
                                    <a:pt x="6455" y="12910"/>
                                  </a:lnTo>
                                  <a:cubicBezTo>
                                    <a:pt x="6455" y="7267"/>
                                    <a:pt x="9622" y="5177"/>
                                    <a:pt x="12849" y="5177"/>
                                  </a:cubicBezTo>
                                  <a:cubicBezTo>
                                    <a:pt x="16036" y="5177"/>
                                    <a:pt x="18187" y="7227"/>
                                    <a:pt x="18187" y="12139"/>
                                  </a:cubicBezTo>
                                  <a:lnTo>
                                    <a:pt x="18187" y="29067"/>
                                  </a:lnTo>
                                  <a:lnTo>
                                    <a:pt x="24642" y="29067"/>
                                  </a:lnTo>
                                  <a:lnTo>
                                    <a:pt x="24642" y="11367"/>
                                  </a:lnTo>
                                  <a:cubicBezTo>
                                    <a:pt x="24642" y="3878"/>
                                    <a:pt x="20867" y="1"/>
                                    <a:pt x="15122" y="1"/>
                                  </a:cubicBezTo>
                                  <a:close/>
                                </a:path>
                              </a:pathLst>
                            </a:custGeom>
                            <a:solidFill>
                              <a:srgbClr val="00BAE6"/>
                            </a:solidFill>
                            <a:ln>
                              <a:noFill/>
                            </a:ln>
                          </wps:spPr>
                          <wps:txbx>
                            <w:txbxContent>
                              <w:p w14:paraId="6528D9EB"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1810257727" name="Freihandform: Form 1810257727"/>
                          <wps:cNvSpPr/>
                          <wps:spPr>
                            <a:xfrm>
                              <a:off x="4535125" y="1518600"/>
                              <a:ext cx="686575" cy="748500"/>
                            </a:xfrm>
                            <a:custGeom>
                              <a:avLst/>
                              <a:gdLst/>
                              <a:ahLst/>
                              <a:cxnLst/>
                              <a:rect l="l" t="t" r="r" b="b"/>
                              <a:pathLst>
                                <a:path w="27463" h="29940" extrusionOk="0">
                                  <a:moveTo>
                                    <a:pt x="14087" y="5116"/>
                                  </a:moveTo>
                                  <a:cubicBezTo>
                                    <a:pt x="18491" y="5116"/>
                                    <a:pt x="20968" y="8039"/>
                                    <a:pt x="20968" y="12139"/>
                                  </a:cubicBezTo>
                                  <a:lnTo>
                                    <a:pt x="6902" y="12139"/>
                                  </a:lnTo>
                                  <a:cubicBezTo>
                                    <a:pt x="7328" y="8201"/>
                                    <a:pt x="9621" y="5116"/>
                                    <a:pt x="14087" y="5116"/>
                                  </a:cubicBezTo>
                                  <a:close/>
                                  <a:moveTo>
                                    <a:pt x="13945" y="1"/>
                                  </a:moveTo>
                                  <a:cubicBezTo>
                                    <a:pt x="5785" y="1"/>
                                    <a:pt x="0" y="5583"/>
                                    <a:pt x="0" y="14960"/>
                                  </a:cubicBezTo>
                                  <a:cubicBezTo>
                                    <a:pt x="0" y="24297"/>
                                    <a:pt x="5623" y="29940"/>
                                    <a:pt x="13985" y="29940"/>
                                  </a:cubicBezTo>
                                  <a:cubicBezTo>
                                    <a:pt x="20968" y="29940"/>
                                    <a:pt x="25880" y="26043"/>
                                    <a:pt x="27118" y="20400"/>
                                  </a:cubicBezTo>
                                  <a:lnTo>
                                    <a:pt x="20440" y="20400"/>
                                  </a:lnTo>
                                  <a:cubicBezTo>
                                    <a:pt x="19567" y="23120"/>
                                    <a:pt x="17213" y="24804"/>
                                    <a:pt x="14087" y="24804"/>
                                  </a:cubicBezTo>
                                  <a:cubicBezTo>
                                    <a:pt x="9784" y="24804"/>
                                    <a:pt x="7064" y="21618"/>
                                    <a:pt x="6861" y="16807"/>
                                  </a:cubicBezTo>
                                  <a:lnTo>
                                    <a:pt x="27463" y="16807"/>
                                  </a:lnTo>
                                  <a:lnTo>
                                    <a:pt x="27463" y="13884"/>
                                  </a:lnTo>
                                  <a:cubicBezTo>
                                    <a:pt x="27463" y="4811"/>
                                    <a:pt x="21678" y="1"/>
                                    <a:pt x="13945" y="1"/>
                                  </a:cubicBezTo>
                                  <a:close/>
                                </a:path>
                              </a:pathLst>
                            </a:custGeom>
                            <a:solidFill>
                              <a:srgbClr val="00BAE6"/>
                            </a:solidFill>
                            <a:ln>
                              <a:noFill/>
                            </a:ln>
                          </wps:spPr>
                          <wps:txbx>
                            <w:txbxContent>
                              <w:p w14:paraId="1F7CFC0F"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723981357" name="Freihandform: Form 723981357"/>
                          <wps:cNvSpPr/>
                          <wps:spPr>
                            <a:xfrm>
                              <a:off x="5306425" y="1539925"/>
                              <a:ext cx="401425" cy="705350"/>
                            </a:xfrm>
                            <a:custGeom>
                              <a:avLst/>
                              <a:gdLst/>
                              <a:ahLst/>
                              <a:cxnLst/>
                              <a:rect l="l" t="t" r="r" b="b"/>
                              <a:pathLst>
                                <a:path w="16057" h="28214" extrusionOk="0">
                                  <a:moveTo>
                                    <a:pt x="1" y="0"/>
                                  </a:moveTo>
                                  <a:lnTo>
                                    <a:pt x="1" y="28214"/>
                                  </a:lnTo>
                                  <a:lnTo>
                                    <a:pt x="6455" y="28214"/>
                                  </a:lnTo>
                                  <a:lnTo>
                                    <a:pt x="6455" y="11996"/>
                                  </a:lnTo>
                                  <a:cubicBezTo>
                                    <a:pt x="6455" y="7389"/>
                                    <a:pt x="8262" y="5298"/>
                                    <a:pt x="12159" y="5298"/>
                                  </a:cubicBezTo>
                                  <a:lnTo>
                                    <a:pt x="16056" y="5298"/>
                                  </a:lnTo>
                                  <a:lnTo>
                                    <a:pt x="16056" y="0"/>
                                  </a:lnTo>
                                  <a:lnTo>
                                    <a:pt x="13336" y="0"/>
                                  </a:lnTo>
                                  <a:cubicBezTo>
                                    <a:pt x="9581" y="0"/>
                                    <a:pt x="7795" y="1644"/>
                                    <a:pt x="6455" y="4466"/>
                                  </a:cubicBezTo>
                                  <a:lnTo>
                                    <a:pt x="6354" y="4466"/>
                                  </a:lnTo>
                                  <a:lnTo>
                                    <a:pt x="6354" y="0"/>
                                  </a:lnTo>
                                  <a:close/>
                                </a:path>
                              </a:pathLst>
                            </a:custGeom>
                            <a:solidFill>
                              <a:srgbClr val="00BAE6"/>
                            </a:solidFill>
                            <a:ln>
                              <a:noFill/>
                            </a:ln>
                          </wps:spPr>
                          <wps:txbx>
                            <w:txbxContent>
                              <w:p w14:paraId="2F416786"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739570338" name="Freihandform: Form 739570338"/>
                          <wps:cNvSpPr/>
                          <wps:spPr>
                            <a:xfrm>
                              <a:off x="5729125" y="1518600"/>
                              <a:ext cx="720600" cy="748500"/>
                            </a:xfrm>
                            <a:custGeom>
                              <a:avLst/>
                              <a:gdLst/>
                              <a:ahLst/>
                              <a:cxnLst/>
                              <a:rect l="l" t="t" r="r" b="b"/>
                              <a:pathLst>
                                <a:path w="28824" h="29940" extrusionOk="0">
                                  <a:moveTo>
                                    <a:pt x="19385" y="13823"/>
                                  </a:moveTo>
                                  <a:lnTo>
                                    <a:pt x="19385" y="16442"/>
                                  </a:lnTo>
                                  <a:cubicBezTo>
                                    <a:pt x="19385" y="22288"/>
                                    <a:pt x="15589" y="24703"/>
                                    <a:pt x="11753" y="24703"/>
                                  </a:cubicBezTo>
                                  <a:cubicBezTo>
                                    <a:pt x="8363" y="24703"/>
                                    <a:pt x="6922" y="22856"/>
                                    <a:pt x="6922" y="20643"/>
                                  </a:cubicBezTo>
                                  <a:cubicBezTo>
                                    <a:pt x="6922" y="18451"/>
                                    <a:pt x="8363" y="16746"/>
                                    <a:pt x="11753" y="16645"/>
                                  </a:cubicBezTo>
                                  <a:lnTo>
                                    <a:pt x="13844" y="16543"/>
                                  </a:lnTo>
                                  <a:cubicBezTo>
                                    <a:pt x="16766" y="16442"/>
                                    <a:pt x="18411" y="15569"/>
                                    <a:pt x="19283" y="13823"/>
                                  </a:cubicBezTo>
                                  <a:close/>
                                  <a:moveTo>
                                    <a:pt x="13905" y="1"/>
                                  </a:moveTo>
                                  <a:cubicBezTo>
                                    <a:pt x="5440" y="1"/>
                                    <a:pt x="1503" y="3939"/>
                                    <a:pt x="1076" y="9987"/>
                                  </a:cubicBezTo>
                                  <a:lnTo>
                                    <a:pt x="7856" y="9987"/>
                                  </a:lnTo>
                                  <a:cubicBezTo>
                                    <a:pt x="8059" y="6861"/>
                                    <a:pt x="10373" y="5116"/>
                                    <a:pt x="14006" y="5116"/>
                                  </a:cubicBezTo>
                                  <a:cubicBezTo>
                                    <a:pt x="17030" y="5116"/>
                                    <a:pt x="19385" y="6354"/>
                                    <a:pt x="19385" y="8911"/>
                                  </a:cubicBezTo>
                                  <a:cubicBezTo>
                                    <a:pt x="19385" y="10860"/>
                                    <a:pt x="18106" y="11997"/>
                                    <a:pt x="15285" y="11997"/>
                                  </a:cubicBezTo>
                                  <a:lnTo>
                                    <a:pt x="10718" y="11997"/>
                                  </a:lnTo>
                                  <a:cubicBezTo>
                                    <a:pt x="5136" y="11997"/>
                                    <a:pt x="1" y="14453"/>
                                    <a:pt x="1" y="20907"/>
                                  </a:cubicBezTo>
                                  <a:cubicBezTo>
                                    <a:pt x="1" y="26814"/>
                                    <a:pt x="4263" y="29940"/>
                                    <a:pt x="9743" y="29940"/>
                                  </a:cubicBezTo>
                                  <a:cubicBezTo>
                                    <a:pt x="14107" y="29940"/>
                                    <a:pt x="17741" y="27991"/>
                                    <a:pt x="19547" y="23769"/>
                                  </a:cubicBezTo>
                                  <a:lnTo>
                                    <a:pt x="19649" y="23769"/>
                                  </a:lnTo>
                                  <a:lnTo>
                                    <a:pt x="19649" y="24865"/>
                                  </a:lnTo>
                                  <a:cubicBezTo>
                                    <a:pt x="19649" y="27524"/>
                                    <a:pt x="21333" y="29067"/>
                                    <a:pt x="24419" y="29067"/>
                                  </a:cubicBezTo>
                                  <a:lnTo>
                                    <a:pt x="28823" y="29067"/>
                                  </a:lnTo>
                                  <a:lnTo>
                                    <a:pt x="28823" y="23769"/>
                                  </a:lnTo>
                                  <a:lnTo>
                                    <a:pt x="27747" y="23769"/>
                                  </a:lnTo>
                                  <a:cubicBezTo>
                                    <a:pt x="26367" y="23769"/>
                                    <a:pt x="25840" y="23262"/>
                                    <a:pt x="25840" y="21882"/>
                                  </a:cubicBezTo>
                                  <a:lnTo>
                                    <a:pt x="25840" y="9784"/>
                                  </a:lnTo>
                                  <a:cubicBezTo>
                                    <a:pt x="25840" y="4101"/>
                                    <a:pt x="22470" y="1"/>
                                    <a:pt x="13905" y="1"/>
                                  </a:cubicBezTo>
                                  <a:close/>
                                </a:path>
                              </a:pathLst>
                            </a:custGeom>
                            <a:solidFill>
                              <a:srgbClr val="00BAE6"/>
                            </a:solidFill>
                            <a:ln>
                              <a:noFill/>
                            </a:ln>
                          </wps:spPr>
                          <wps:txbx>
                            <w:txbxContent>
                              <w:p w14:paraId="13747026"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1975073011" name="Freihandform: Form 1975073011"/>
                          <wps:cNvSpPr/>
                          <wps:spPr>
                            <a:xfrm>
                              <a:off x="1144900" y="1348100"/>
                              <a:ext cx="45200" cy="896175"/>
                            </a:xfrm>
                            <a:custGeom>
                              <a:avLst/>
                              <a:gdLst/>
                              <a:ahLst/>
                              <a:cxnLst/>
                              <a:rect l="l" t="t" r="r" b="b"/>
                              <a:pathLst>
                                <a:path w="1808" h="35847" extrusionOk="0">
                                  <a:moveTo>
                                    <a:pt x="1" y="1"/>
                                  </a:moveTo>
                                  <a:lnTo>
                                    <a:pt x="1" y="35846"/>
                                  </a:lnTo>
                                  <a:lnTo>
                                    <a:pt x="1807" y="35846"/>
                                  </a:lnTo>
                                  <a:lnTo>
                                    <a:pt x="1807" y="1"/>
                                  </a:lnTo>
                                  <a:close/>
                                </a:path>
                              </a:pathLst>
                            </a:custGeom>
                            <a:solidFill>
                              <a:srgbClr val="00BAE6"/>
                            </a:solidFill>
                            <a:ln>
                              <a:noFill/>
                            </a:ln>
                          </wps:spPr>
                          <wps:txbx>
                            <w:txbxContent>
                              <w:p w14:paraId="7C05189D"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264953837" name="Freihandform: Form 264953837"/>
                          <wps:cNvSpPr/>
                          <wps:spPr>
                            <a:xfrm>
                              <a:off x="1368700" y="1348100"/>
                              <a:ext cx="89825" cy="896175"/>
                            </a:xfrm>
                            <a:custGeom>
                              <a:avLst/>
                              <a:gdLst/>
                              <a:ahLst/>
                              <a:cxnLst/>
                              <a:rect l="l" t="t" r="r" b="b"/>
                              <a:pathLst>
                                <a:path w="3593" h="35847" extrusionOk="0">
                                  <a:moveTo>
                                    <a:pt x="0" y="1"/>
                                  </a:moveTo>
                                  <a:lnTo>
                                    <a:pt x="0" y="35846"/>
                                  </a:lnTo>
                                  <a:lnTo>
                                    <a:pt x="3593" y="35846"/>
                                  </a:lnTo>
                                  <a:lnTo>
                                    <a:pt x="3593" y="1"/>
                                  </a:lnTo>
                                  <a:close/>
                                </a:path>
                              </a:pathLst>
                            </a:custGeom>
                            <a:solidFill>
                              <a:srgbClr val="00BAE6"/>
                            </a:solidFill>
                            <a:ln>
                              <a:noFill/>
                            </a:ln>
                          </wps:spPr>
                          <wps:txbx>
                            <w:txbxContent>
                              <w:p w14:paraId="6D9E5E98"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1414208047" name="Freihandform: Form 1414208047"/>
                          <wps:cNvSpPr/>
                          <wps:spPr>
                            <a:xfrm>
                              <a:off x="1548325" y="1348100"/>
                              <a:ext cx="179650" cy="896175"/>
                            </a:xfrm>
                            <a:custGeom>
                              <a:avLst/>
                              <a:gdLst/>
                              <a:ahLst/>
                              <a:cxnLst/>
                              <a:rect l="l" t="t" r="r" b="b"/>
                              <a:pathLst>
                                <a:path w="7186" h="35847" extrusionOk="0">
                                  <a:moveTo>
                                    <a:pt x="0" y="1"/>
                                  </a:moveTo>
                                  <a:lnTo>
                                    <a:pt x="0" y="35846"/>
                                  </a:lnTo>
                                  <a:lnTo>
                                    <a:pt x="7186" y="35846"/>
                                  </a:lnTo>
                                  <a:lnTo>
                                    <a:pt x="7186" y="1"/>
                                  </a:lnTo>
                                  <a:close/>
                                </a:path>
                              </a:pathLst>
                            </a:custGeom>
                            <a:solidFill>
                              <a:srgbClr val="00BAE6"/>
                            </a:solidFill>
                            <a:ln>
                              <a:noFill/>
                            </a:ln>
                          </wps:spPr>
                          <wps:txbx>
                            <w:txbxContent>
                              <w:p w14:paraId="64CBC0E9"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s:wsp>
                          <wps:cNvPr id="2135876618" name="Freihandform: Form 2135876618"/>
                          <wps:cNvSpPr/>
                          <wps:spPr>
                            <a:xfrm>
                              <a:off x="1772625" y="1348100"/>
                              <a:ext cx="267950" cy="896175"/>
                            </a:xfrm>
                            <a:custGeom>
                              <a:avLst/>
                              <a:gdLst/>
                              <a:ahLst/>
                              <a:cxnLst/>
                              <a:rect l="l" t="t" r="r" b="b"/>
                              <a:pathLst>
                                <a:path w="10718" h="35847" extrusionOk="0">
                                  <a:moveTo>
                                    <a:pt x="0" y="1"/>
                                  </a:moveTo>
                                  <a:lnTo>
                                    <a:pt x="0" y="35846"/>
                                  </a:lnTo>
                                  <a:lnTo>
                                    <a:pt x="10717" y="35846"/>
                                  </a:lnTo>
                                  <a:lnTo>
                                    <a:pt x="10717" y="1"/>
                                  </a:lnTo>
                                  <a:close/>
                                </a:path>
                              </a:pathLst>
                            </a:custGeom>
                            <a:solidFill>
                              <a:srgbClr val="00BAE6"/>
                            </a:solidFill>
                            <a:ln>
                              <a:noFill/>
                            </a:ln>
                          </wps:spPr>
                          <wps:txbx>
                            <w:txbxContent>
                              <w:p w14:paraId="6390579D" w14:textId="77777777" w:rsidR="00A76977" w:rsidRDefault="00A76977">
                                <w:pPr>
                                  <w:spacing w:before="0"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114300" distT="114300" distL="114300" distR="114300" hidden="0" layoutInCell="1" locked="0" relativeHeight="0" simplePos="0">
              <wp:simplePos x="0" y="0"/>
              <wp:positionH relativeFrom="page">
                <wp:posOffset>442800</wp:posOffset>
              </wp:positionH>
              <wp:positionV relativeFrom="page">
                <wp:posOffset>442800</wp:posOffset>
              </wp:positionV>
              <wp:extent cx="2298617" cy="40680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298617" cy="406800"/>
                      </a:xfrm>
                      <a:prstGeom prst="rect"/>
                      <a:ln/>
                    </pic:spPr>
                  </pic:pic>
                </a:graphicData>
              </a:graphic>
            </wp:anchor>
          </w:drawing>
        </mc:Fallback>
      </mc:AlternateContent>
    </w:r>
  </w:p>
  <w:p w14:paraId="33EA82E2" w14:textId="77777777" w:rsidR="00A76977" w:rsidRDefault="00A76977"/>
  <w:p w14:paraId="46ABD459" w14:textId="77777777" w:rsidR="00A76977" w:rsidRDefault="00A769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77"/>
    <w:rsid w:val="0011748B"/>
    <w:rsid w:val="00157073"/>
    <w:rsid w:val="0017503C"/>
    <w:rsid w:val="002F7545"/>
    <w:rsid w:val="00376AED"/>
    <w:rsid w:val="00376CBB"/>
    <w:rsid w:val="005E16B7"/>
    <w:rsid w:val="006D1F16"/>
    <w:rsid w:val="00720B61"/>
    <w:rsid w:val="00762AEB"/>
    <w:rsid w:val="007A5FC1"/>
    <w:rsid w:val="00871FC1"/>
    <w:rsid w:val="009112D6"/>
    <w:rsid w:val="00A76977"/>
    <w:rsid w:val="00A968A0"/>
    <w:rsid w:val="00C11E50"/>
    <w:rsid w:val="00C20CD3"/>
    <w:rsid w:val="00EA7472"/>
    <w:rsid w:val="00F34703"/>
    <w:rsid w:val="00F619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91F7"/>
  <w15:docId w15:val="{60C84A73-7C17-494F-82B7-CC9645B4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Inter Light" w:hAnsi="Inter Light" w:cs="Inter Light"/>
        <w:lang w:val="de-CH" w:eastAsia="de-CH" w:bidi="ar-SA"/>
      </w:rPr>
    </w:rPrDefault>
    <w:pPrDefault>
      <w:pPr>
        <w:spacing w:before="40"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ind w:left="566" w:hanging="585"/>
      <w:outlineLvl w:val="0"/>
    </w:pPr>
    <w:rPr>
      <w:rFonts w:ascii="Inter Medium" w:eastAsia="Inter Medium" w:hAnsi="Inter Medium" w:cs="Inter Medium"/>
      <w:color w:val="111111"/>
      <w:sz w:val="45"/>
      <w:szCs w:val="45"/>
    </w:rPr>
  </w:style>
  <w:style w:type="paragraph" w:styleId="berschrift2">
    <w:name w:val="heading 2"/>
    <w:basedOn w:val="Standard"/>
    <w:next w:val="Standard"/>
    <w:uiPriority w:val="9"/>
    <w:semiHidden/>
    <w:unhideWhenUsed/>
    <w:qFormat/>
    <w:pPr>
      <w:keepNext/>
      <w:keepLines/>
      <w:spacing w:before="240"/>
      <w:ind w:left="566"/>
      <w:outlineLvl w:val="1"/>
    </w:pPr>
    <w:rPr>
      <w:rFonts w:ascii="Inter Medium" w:eastAsia="Inter Medium" w:hAnsi="Inter Medium" w:cs="Inter Medium"/>
      <w:color w:val="111111"/>
      <w:sz w:val="30"/>
      <w:szCs w:val="30"/>
    </w:rPr>
  </w:style>
  <w:style w:type="paragraph" w:styleId="berschrift3">
    <w:name w:val="heading 3"/>
    <w:basedOn w:val="Standard"/>
    <w:next w:val="Standard"/>
    <w:uiPriority w:val="9"/>
    <w:semiHidden/>
    <w:unhideWhenUsed/>
    <w:qFormat/>
    <w:pPr>
      <w:keepNext/>
      <w:keepLines/>
      <w:spacing w:before="240"/>
      <w:ind w:left="568"/>
      <w:outlineLvl w:val="2"/>
    </w:pPr>
    <w:rPr>
      <w:rFonts w:ascii="Inter Medium" w:eastAsia="Inter Medium" w:hAnsi="Inter Medium" w:cs="Inter Medium"/>
      <w:color w:val="111111"/>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sz w:val="22"/>
      <w:szCs w:val="22"/>
    </w:rPr>
  </w:style>
  <w:style w:type="paragraph" w:styleId="berschrift6">
    <w:name w:val="heading 6"/>
    <w:basedOn w:val="Standard"/>
    <w:next w:val="Standard"/>
    <w:uiPriority w:val="9"/>
    <w:semiHidden/>
    <w:unhideWhenUsed/>
    <w:qFormat/>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172" w:line="216" w:lineRule="auto"/>
      <w:ind w:right="2720"/>
    </w:pPr>
    <w:rPr>
      <w:rFonts w:ascii="Inter Medium" w:eastAsia="Inter Medium" w:hAnsi="Inter Medium" w:cs="Inter Medium"/>
      <w:color w:val="111111"/>
      <w:sz w:val="70"/>
      <w:szCs w:val="70"/>
    </w:rPr>
  </w:style>
  <w:style w:type="table" w:customStyle="1" w:styleId="TableNormal0">
    <w:name w:val="Table Normal"/>
    <w:tblPr>
      <w:tblCellMar>
        <w:top w:w="0" w:type="dxa"/>
        <w:left w:w="0" w:type="dxa"/>
        <w:bottom w:w="0" w:type="dxa"/>
        <w:right w:w="0" w:type="dxa"/>
      </w:tblCellMar>
    </w:tblPr>
  </w:style>
  <w:style w:type="paragraph" w:styleId="Kommentartext">
    <w:name w:val="annotation text"/>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style>
  <w:style w:type="character" w:styleId="Kommentarzeichen">
    <w:name w:val="annotation reference"/>
    <w:basedOn w:val="Absatz-Standardschriftart"/>
    <w:uiPriority w:val="99"/>
    <w:semiHidden/>
    <w:unhideWhenUsed/>
    <w:rPr>
      <w:sz w:val="16"/>
      <w:szCs w:val="16"/>
    </w:rPr>
  </w:style>
  <w:style w:type="paragraph" w:styleId="Kopfzeile">
    <w:name w:val="header"/>
    <w:link w:val="KopfzeileZchn"/>
    <w:uiPriority w:val="99"/>
    <w:unhideWhenUsed/>
    <w:rsid w:val="009410DE"/>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9410DE"/>
  </w:style>
  <w:style w:type="paragraph" w:styleId="Fuzeile">
    <w:name w:val="footer"/>
    <w:link w:val="FuzeileZchn"/>
    <w:uiPriority w:val="99"/>
    <w:unhideWhenUsed/>
    <w:rsid w:val="009410DE"/>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9410DE"/>
  </w:style>
  <w:style w:type="paragraph" w:styleId="Untertitel">
    <w:name w:val="Subtitle"/>
    <w:basedOn w:val="Standard"/>
    <w:next w:val="Standard"/>
    <w:uiPriority w:val="11"/>
    <w:qFormat/>
    <w:pPr>
      <w:keepNext/>
      <w:keepLines/>
      <w:spacing w:before="170" w:line="218" w:lineRule="auto"/>
      <w:ind w:right="2226"/>
    </w:pPr>
    <w:rPr>
      <w:rFonts w:ascii="Inter Medium" w:eastAsia="Inter Medium" w:hAnsi="Inter Medium" w:cs="Inter Medium"/>
      <w:color w:val="111111"/>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NVhsxxwS5vUb/YK5Saqr0n+3og==">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 von Planta</dc:creator>
  <cp:lastModifiedBy>Cora von Planta</cp:lastModifiedBy>
  <cp:revision>8</cp:revision>
  <cp:lastPrinted>2025-11-11T08:57:00Z</cp:lastPrinted>
  <dcterms:created xsi:type="dcterms:W3CDTF">2024-06-26T11:39:00Z</dcterms:created>
  <dcterms:modified xsi:type="dcterms:W3CDTF">2025-11-11T10:53:00Z</dcterms:modified>
</cp:coreProperties>
</file>